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17" w:rsidRDefault="007D0A68">
      <w:pPr>
        <w:pStyle w:val="BodyText"/>
        <w:tabs>
          <w:tab w:val="left" w:pos="8087"/>
        </w:tabs>
        <w:ind w:left="906"/>
        <w:rPr>
          <w:rFonts w:ascii="Times New Roman"/>
        </w:rPr>
      </w:pPr>
      <w:r>
        <w:rPr>
          <w:rFonts w:ascii="Times New Roman"/>
          <w:noProof/>
          <w:position w:val="2"/>
          <w:lang w:val="en-AU" w:eastAsia="en-AU"/>
        </w:rPr>
        <w:drawing>
          <wp:inline distT="0" distB="0" distL="0" distR="0">
            <wp:extent cx="1913150" cy="562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3150" cy="562355"/>
                    </a:xfrm>
                    <a:prstGeom prst="rect">
                      <a:avLst/>
                    </a:prstGeom>
                  </pic:spPr>
                </pic:pic>
              </a:graphicData>
            </a:graphic>
          </wp:inline>
        </w:drawing>
      </w:r>
      <w:r>
        <w:rPr>
          <w:rFonts w:ascii="Times New Roman"/>
          <w:position w:val="2"/>
        </w:rPr>
        <w:tab/>
      </w:r>
      <w:r>
        <w:rPr>
          <w:rFonts w:ascii="Times New Roman"/>
          <w:noProof/>
          <w:lang w:val="en-AU" w:eastAsia="en-AU"/>
        </w:rPr>
        <w:drawing>
          <wp:inline distT="0" distB="0" distL="0" distR="0">
            <wp:extent cx="1616591" cy="89039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16591" cy="890397"/>
                    </a:xfrm>
                    <a:prstGeom prst="rect">
                      <a:avLst/>
                    </a:prstGeom>
                  </pic:spPr>
                </pic:pic>
              </a:graphicData>
            </a:graphic>
          </wp:inline>
        </w:drawing>
      </w:r>
    </w:p>
    <w:p w:rsidR="000E1E17" w:rsidRDefault="000E1E17">
      <w:pPr>
        <w:pStyle w:val="BodyText"/>
        <w:spacing w:before="4"/>
        <w:rPr>
          <w:rFonts w:ascii="Times New Roman"/>
          <w:sz w:val="18"/>
        </w:rPr>
      </w:pPr>
    </w:p>
    <w:p w:rsidR="000E1E17" w:rsidRDefault="008553EA">
      <w:pPr>
        <w:spacing w:before="20"/>
        <w:ind w:left="3226" w:right="3201" w:firstLine="1606"/>
        <w:rPr>
          <w:b/>
          <w:sz w:val="40"/>
        </w:rPr>
      </w:pPr>
      <w:r w:rsidRPr="008553EA">
        <w:pict>
          <v:group id="_x0000_s1054" style="position:absolute;left:0;text-align:left;margin-left:28.9pt;margin-top:.35pt;width:539.9pt;height:671.3pt;z-index:-5584;mso-position-horizontal-relative:page" coordorigin="578,7" coordsize="10798,13426">
            <v:shape id="_x0000_s1065" style="position:absolute;left:593;top:22;width:10766;height:977" coordorigin="593,22" coordsize="10766,977" path="m11359,22r-101,l696,22r-103,l593,998r103,l11258,998r101,l11359,22e" fillcolor="#b6dde8" stroked="f">
              <v:path arrowok="t"/>
            </v:shape>
            <v:line id="_x0000_s1064" style="position:absolute" from="593,17" to="602,17" strokeweight=".48pt"/>
            <v:line id="_x0000_s1063" style="position:absolute" from="602,17" to="11361,17" strokeweight=".48pt"/>
            <v:line id="_x0000_s1062" style="position:absolute" from="593,1003" to="11361,1003" strokeweight=".48pt"/>
            <v:line id="_x0000_s1061" style="position:absolute" from="588,12" to="588,13422" strokeweight=".48pt"/>
            <v:line id="_x0000_s1060" style="position:absolute" from="583,13427" to="593,13427" strokeweight=".48pt"/>
            <v:line id="_x0000_s1059" style="position:absolute" from="583,13427" to="593,13427" strokeweight=".48pt"/>
            <v:line id="_x0000_s1058" style="position:absolute" from="593,13427" to="11361,13427" strokeweight=".48pt"/>
            <v:line id="_x0000_s1057" style="position:absolute" from="11366,12" to="11366,13422" strokeweight=".48pt"/>
            <v:line id="_x0000_s1056" style="position:absolute" from="11361,13427" to="11371,13427" strokeweight=".48pt"/>
            <v:line id="_x0000_s1055" style="position:absolute" from="11361,13427" to="11371,13427" strokeweight=".48pt"/>
            <w10:wrap anchorx="page"/>
          </v:group>
        </w:pict>
      </w:r>
      <w:r w:rsidR="007D0A68">
        <w:rPr>
          <w:b/>
          <w:sz w:val="40"/>
        </w:rPr>
        <w:t>Calcutta Information and Conditions</w:t>
      </w:r>
    </w:p>
    <w:p w:rsidR="000E1E17" w:rsidRDefault="000E1E17">
      <w:pPr>
        <w:pStyle w:val="BodyText"/>
        <w:spacing w:before="2"/>
        <w:rPr>
          <w:b/>
          <w:sz w:val="16"/>
        </w:rPr>
      </w:pPr>
    </w:p>
    <w:p w:rsidR="000E1E17" w:rsidRDefault="007D0A68">
      <w:pPr>
        <w:pStyle w:val="Heading1"/>
        <w:spacing w:before="59"/>
      </w:pPr>
      <w:r>
        <w:t>What is a Calcutta?</w:t>
      </w:r>
    </w:p>
    <w:p w:rsidR="000E1E17" w:rsidRDefault="008553EA">
      <w:pPr>
        <w:pStyle w:val="BodyText"/>
        <w:spacing w:line="20" w:lineRule="exact"/>
        <w:ind w:left="202"/>
        <w:rPr>
          <w:sz w:val="2"/>
        </w:rPr>
      </w:pPr>
      <w:r w:rsidRPr="008553EA">
        <w:rPr>
          <w:sz w:val="2"/>
        </w:rPr>
      </w:r>
      <w:r>
        <w:rPr>
          <w:sz w:val="2"/>
        </w:rPr>
        <w:pict>
          <v:group id="_x0000_s1052" style="width:531.4pt;height:.5pt;mso-position-horizontal-relative:char;mso-position-vertical-relative:line" coordsize="10628,10">
            <v:line id="_x0000_s1053" style="position:absolute" from="5,5" to="10622,5" strokeweight=".48pt"/>
            <w10:wrap type="none"/>
            <w10:anchorlock/>
          </v:group>
        </w:pict>
      </w:r>
    </w:p>
    <w:p w:rsidR="000E1E17" w:rsidRDefault="007D0A68">
      <w:pPr>
        <w:pStyle w:val="BodyText"/>
        <w:ind w:left="235" w:right="218"/>
      </w:pPr>
      <w:r>
        <w:t>A Calcutta is a form of competition that involves a sweep or draw for participants in a particular event followed by an auction for the race participants (usually horses). Players who were successful in the draw may choose between selling the participant (or in some cases a share in the participant) and receiving half the proceeds of the sale, or retaining the participant by making the highest bid. The prizes are distributed to the players who hold the successful participants in the event. Variations to this form of competition may be approved by the Commission if it considers that the principles of the competition are upheld.</w:t>
      </w:r>
    </w:p>
    <w:p w:rsidR="000E1E17" w:rsidRDefault="000E1E17">
      <w:pPr>
        <w:pStyle w:val="BodyText"/>
        <w:spacing w:before="11"/>
        <w:rPr>
          <w:sz w:val="19"/>
        </w:rPr>
      </w:pPr>
    </w:p>
    <w:p w:rsidR="000E1E17" w:rsidRDefault="007D0A68">
      <w:pPr>
        <w:pStyle w:val="BodyText"/>
        <w:ind w:left="235" w:right="218"/>
      </w:pPr>
      <w:r>
        <w:t xml:space="preserve">It should be noted that the specific provisions of the </w:t>
      </w:r>
      <w:r>
        <w:rPr>
          <w:i/>
        </w:rPr>
        <w:t xml:space="preserve">Lotteries Act 1964 </w:t>
      </w:r>
      <w:r>
        <w:t xml:space="preserve">will ultimately determine the eligibility or otherwise of any lottery application. This includes whether the Calcutta may be considered an “exempt lottery”. See below for details or obtain a copy of the legislation from the Commission’s website: </w:t>
      </w:r>
      <w:hyperlink r:id="rId9">
        <w:r>
          <w:rPr>
            <w:color w:val="0000FF"/>
            <w:u w:val="single" w:color="0000FF"/>
          </w:rPr>
          <w:t>www.gamblingandracing.act.gov.au</w:t>
        </w:r>
      </w:hyperlink>
    </w:p>
    <w:p w:rsidR="000E1E17" w:rsidRDefault="000E1E17">
      <w:pPr>
        <w:pStyle w:val="BodyText"/>
        <w:spacing w:before="5"/>
        <w:rPr>
          <w:sz w:val="15"/>
        </w:rPr>
      </w:pPr>
    </w:p>
    <w:p w:rsidR="000E1E17" w:rsidRDefault="007D0A68">
      <w:pPr>
        <w:pStyle w:val="Heading1"/>
        <w:spacing w:before="59" w:after="17"/>
      </w:pPr>
      <w:r>
        <w:t>When is a permit required?</w:t>
      </w:r>
    </w:p>
    <w:p w:rsidR="000E1E17" w:rsidRDefault="008553EA">
      <w:pPr>
        <w:pStyle w:val="BodyText"/>
        <w:spacing w:line="20" w:lineRule="exact"/>
        <w:ind w:left="202"/>
        <w:rPr>
          <w:sz w:val="2"/>
        </w:rPr>
      </w:pPr>
      <w:r w:rsidRPr="008553EA">
        <w:rPr>
          <w:sz w:val="2"/>
        </w:rPr>
      </w:r>
      <w:r>
        <w:rPr>
          <w:sz w:val="2"/>
        </w:rPr>
        <w:pict>
          <v:group id="_x0000_s1050" style="width:531.4pt;height:.5pt;mso-position-horizontal-relative:char;mso-position-vertical-relative:line" coordsize="10628,10">
            <v:line id="_x0000_s1051" style="position:absolute" from="5,5" to="10622,5" strokeweight=".48pt"/>
            <w10:wrap type="none"/>
            <w10:anchorlock/>
          </v:group>
        </w:pict>
      </w:r>
    </w:p>
    <w:p w:rsidR="000E1E17" w:rsidRDefault="007D0A68">
      <w:pPr>
        <w:pStyle w:val="BodyText"/>
        <w:ind w:left="235" w:right="489"/>
      </w:pPr>
      <w:r>
        <w:t xml:space="preserve">Where a promotional activity fits into the above description of </w:t>
      </w:r>
      <w:r>
        <w:rPr>
          <w:i/>
        </w:rPr>
        <w:t xml:space="preserve">Calcutta </w:t>
      </w:r>
      <w:r>
        <w:t>then a lottery permit is required unless it meets one of the exemption categories listed below.</w:t>
      </w:r>
    </w:p>
    <w:p w:rsidR="000E1E17" w:rsidRDefault="000E1E17">
      <w:pPr>
        <w:pStyle w:val="BodyText"/>
        <w:spacing w:before="1"/>
      </w:pPr>
    </w:p>
    <w:p w:rsidR="000E1E17" w:rsidRDefault="007D0A68">
      <w:pPr>
        <w:pStyle w:val="Heading1"/>
      </w:pPr>
      <w:r>
        <w:t>When is a permit not required?</w:t>
      </w:r>
    </w:p>
    <w:p w:rsidR="000E1E17" w:rsidRDefault="008553EA">
      <w:pPr>
        <w:pStyle w:val="BodyText"/>
        <w:spacing w:line="20" w:lineRule="exact"/>
        <w:ind w:left="202"/>
        <w:rPr>
          <w:sz w:val="2"/>
        </w:rPr>
      </w:pPr>
      <w:r w:rsidRPr="008553EA">
        <w:rPr>
          <w:sz w:val="2"/>
        </w:rPr>
      </w:r>
      <w:r>
        <w:rPr>
          <w:sz w:val="2"/>
        </w:rPr>
        <w:pict>
          <v:group id="_x0000_s1048" style="width:531.4pt;height:.5pt;mso-position-horizontal-relative:char;mso-position-vertical-relative:line" coordsize="10628,10">
            <v:line id="_x0000_s1049" style="position:absolute" from="5,5" to="10622,5" strokeweight=".48pt"/>
            <w10:wrap type="none"/>
            <w10:anchorlock/>
          </v:group>
        </w:pict>
      </w:r>
    </w:p>
    <w:p w:rsidR="000E1E17" w:rsidRDefault="007D0A68">
      <w:pPr>
        <w:pStyle w:val="Heading2"/>
        <w:spacing w:line="231" w:lineRule="exact"/>
      </w:pPr>
      <w:r>
        <w:t>Exempt Lotteries</w:t>
      </w:r>
    </w:p>
    <w:p w:rsidR="000E1E17" w:rsidRDefault="007D0A68">
      <w:pPr>
        <w:pStyle w:val="BodyText"/>
        <w:spacing w:line="243" w:lineRule="exact"/>
        <w:ind w:left="235"/>
      </w:pPr>
      <w:r>
        <w:t>A permit is not required for an “exempt” lottery. Exempt lotteries include:</w:t>
      </w:r>
    </w:p>
    <w:p w:rsidR="000E1E17" w:rsidRDefault="007D0A68">
      <w:pPr>
        <w:pStyle w:val="ListParagraph"/>
        <w:numPr>
          <w:ilvl w:val="0"/>
          <w:numId w:val="1"/>
        </w:numPr>
        <w:tabs>
          <w:tab w:val="left" w:pos="980"/>
          <w:tab w:val="left" w:pos="981"/>
        </w:tabs>
        <w:spacing w:before="2"/>
        <w:ind w:right="630" w:hanging="360"/>
        <w:rPr>
          <w:sz w:val="20"/>
        </w:rPr>
      </w:pPr>
      <w:r>
        <w:rPr>
          <w:sz w:val="20"/>
        </w:rPr>
        <w:t>a</w:t>
      </w:r>
      <w:r>
        <w:rPr>
          <w:spacing w:val="-2"/>
          <w:sz w:val="20"/>
        </w:rPr>
        <w:t xml:space="preserve"> </w:t>
      </w:r>
      <w:r>
        <w:rPr>
          <w:i/>
          <w:sz w:val="20"/>
        </w:rPr>
        <w:t>Calcutta</w:t>
      </w:r>
      <w:r>
        <w:rPr>
          <w:i/>
          <w:spacing w:val="-1"/>
          <w:sz w:val="20"/>
        </w:rPr>
        <w:t xml:space="preserve"> </w:t>
      </w:r>
      <w:r>
        <w:rPr>
          <w:sz w:val="20"/>
        </w:rPr>
        <w:t>where</w:t>
      </w:r>
      <w:r>
        <w:rPr>
          <w:spacing w:val="-3"/>
          <w:sz w:val="20"/>
        </w:rPr>
        <w:t xml:space="preserve"> </w:t>
      </w:r>
      <w:r>
        <w:rPr>
          <w:sz w:val="20"/>
        </w:rPr>
        <w:t>the</w:t>
      </w:r>
      <w:r>
        <w:rPr>
          <w:spacing w:val="-3"/>
          <w:sz w:val="20"/>
        </w:rPr>
        <w:t xml:space="preserve"> </w:t>
      </w:r>
      <w:r>
        <w:rPr>
          <w:sz w:val="20"/>
        </w:rPr>
        <w:t>total</w:t>
      </w:r>
      <w:r>
        <w:rPr>
          <w:spacing w:val="-3"/>
          <w:sz w:val="20"/>
        </w:rPr>
        <w:t xml:space="preserve"> </w:t>
      </w:r>
      <w:r>
        <w:rPr>
          <w:sz w:val="20"/>
        </w:rPr>
        <w:t>prize</w:t>
      </w:r>
      <w:r>
        <w:rPr>
          <w:spacing w:val="-3"/>
          <w:sz w:val="20"/>
        </w:rPr>
        <w:t xml:space="preserve"> </w:t>
      </w:r>
      <w:r>
        <w:rPr>
          <w:sz w:val="20"/>
        </w:rPr>
        <w:t>value</w:t>
      </w:r>
      <w:r>
        <w:rPr>
          <w:spacing w:val="-3"/>
          <w:sz w:val="20"/>
        </w:rPr>
        <w:t xml:space="preserve"> </w:t>
      </w:r>
      <w:r>
        <w:rPr>
          <w:sz w:val="20"/>
        </w:rPr>
        <w:t>does</w:t>
      </w:r>
      <w:r>
        <w:rPr>
          <w:spacing w:val="-4"/>
          <w:sz w:val="20"/>
        </w:rPr>
        <w:t xml:space="preserve"> </w:t>
      </w:r>
      <w:r>
        <w:rPr>
          <w:sz w:val="20"/>
        </w:rPr>
        <w:t>not</w:t>
      </w:r>
      <w:r>
        <w:rPr>
          <w:spacing w:val="-2"/>
          <w:sz w:val="20"/>
        </w:rPr>
        <w:t xml:space="preserve"> </w:t>
      </w:r>
      <w:r>
        <w:rPr>
          <w:sz w:val="20"/>
        </w:rPr>
        <w:t>exceed</w:t>
      </w:r>
      <w:r>
        <w:rPr>
          <w:spacing w:val="-2"/>
          <w:sz w:val="20"/>
        </w:rPr>
        <w:t xml:space="preserve"> </w:t>
      </w:r>
      <w:r>
        <w:rPr>
          <w:sz w:val="20"/>
        </w:rPr>
        <w:t>$1,000.</w:t>
      </w:r>
      <w:r>
        <w:rPr>
          <w:spacing w:val="-2"/>
          <w:sz w:val="20"/>
        </w:rPr>
        <w:t xml:space="preserve"> </w:t>
      </w:r>
      <w:r>
        <w:rPr>
          <w:sz w:val="20"/>
        </w:rPr>
        <w:t>Legislative</w:t>
      </w:r>
      <w:r>
        <w:rPr>
          <w:spacing w:val="-3"/>
          <w:sz w:val="20"/>
        </w:rPr>
        <w:t xml:space="preserve"> </w:t>
      </w:r>
      <w:r>
        <w:rPr>
          <w:sz w:val="20"/>
        </w:rPr>
        <w:t>conditions</w:t>
      </w:r>
      <w:r>
        <w:rPr>
          <w:spacing w:val="-4"/>
          <w:sz w:val="20"/>
        </w:rPr>
        <w:t xml:space="preserve"> </w:t>
      </w:r>
      <w:r>
        <w:rPr>
          <w:sz w:val="20"/>
        </w:rPr>
        <w:t>under</w:t>
      </w:r>
      <w:r>
        <w:rPr>
          <w:spacing w:val="-2"/>
          <w:sz w:val="20"/>
        </w:rPr>
        <w:t xml:space="preserve"> </w:t>
      </w:r>
      <w:r>
        <w:rPr>
          <w:sz w:val="20"/>
        </w:rPr>
        <w:t>which</w:t>
      </w:r>
      <w:r>
        <w:rPr>
          <w:spacing w:val="-2"/>
          <w:sz w:val="20"/>
        </w:rPr>
        <w:t xml:space="preserve"> </w:t>
      </w:r>
      <w:r>
        <w:rPr>
          <w:sz w:val="20"/>
        </w:rPr>
        <w:t>an</w:t>
      </w:r>
      <w:r>
        <w:rPr>
          <w:spacing w:val="-1"/>
          <w:sz w:val="20"/>
        </w:rPr>
        <w:t xml:space="preserve"> </w:t>
      </w:r>
      <w:r>
        <w:rPr>
          <w:sz w:val="20"/>
        </w:rPr>
        <w:t>exempt</w:t>
      </w:r>
      <w:r>
        <w:rPr>
          <w:spacing w:val="-2"/>
          <w:sz w:val="20"/>
        </w:rPr>
        <w:t xml:space="preserve"> </w:t>
      </w:r>
      <w:r>
        <w:rPr>
          <w:sz w:val="20"/>
        </w:rPr>
        <w:t>lottery must</w:t>
      </w:r>
      <w:r>
        <w:rPr>
          <w:spacing w:val="-3"/>
          <w:sz w:val="20"/>
        </w:rPr>
        <w:t xml:space="preserve"> </w:t>
      </w:r>
      <w:r>
        <w:rPr>
          <w:sz w:val="20"/>
        </w:rPr>
        <w:t>be</w:t>
      </w:r>
      <w:r>
        <w:rPr>
          <w:spacing w:val="-3"/>
          <w:sz w:val="20"/>
        </w:rPr>
        <w:t xml:space="preserve"> </w:t>
      </w:r>
      <w:r>
        <w:rPr>
          <w:sz w:val="20"/>
        </w:rPr>
        <w:t>conducted</w:t>
      </w:r>
      <w:r>
        <w:rPr>
          <w:spacing w:val="-3"/>
          <w:sz w:val="20"/>
        </w:rPr>
        <w:t xml:space="preserve"> </w:t>
      </w:r>
      <w:r>
        <w:rPr>
          <w:sz w:val="20"/>
        </w:rPr>
        <w:t>are</w:t>
      </w:r>
      <w:r>
        <w:rPr>
          <w:spacing w:val="-3"/>
          <w:sz w:val="20"/>
        </w:rPr>
        <w:t xml:space="preserve"> </w:t>
      </w:r>
      <w:r>
        <w:rPr>
          <w:sz w:val="20"/>
        </w:rPr>
        <w:t>detailed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Exempt</w:t>
      </w:r>
      <w:r>
        <w:rPr>
          <w:spacing w:val="-3"/>
          <w:sz w:val="20"/>
        </w:rPr>
        <w:t xml:space="preserve"> </w:t>
      </w:r>
      <w:r>
        <w:rPr>
          <w:sz w:val="20"/>
        </w:rPr>
        <w:t>Lotteries</w:t>
      </w:r>
      <w:r>
        <w:rPr>
          <w:spacing w:val="-4"/>
          <w:sz w:val="20"/>
        </w:rPr>
        <w:t xml:space="preserve"> </w:t>
      </w:r>
      <w:r>
        <w:rPr>
          <w:sz w:val="20"/>
        </w:rPr>
        <w:t>factsheet</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Commission’s</w:t>
      </w:r>
      <w:r>
        <w:rPr>
          <w:spacing w:val="-4"/>
          <w:sz w:val="20"/>
        </w:rPr>
        <w:t xml:space="preserve"> </w:t>
      </w:r>
      <w:r>
        <w:rPr>
          <w:sz w:val="20"/>
        </w:rPr>
        <w:t>website;</w:t>
      </w:r>
    </w:p>
    <w:p w:rsidR="000E1E17" w:rsidRDefault="007D0A68">
      <w:pPr>
        <w:pStyle w:val="ListParagraph"/>
        <w:numPr>
          <w:ilvl w:val="0"/>
          <w:numId w:val="1"/>
        </w:numPr>
        <w:tabs>
          <w:tab w:val="left" w:pos="949"/>
          <w:tab w:val="left" w:pos="950"/>
        </w:tabs>
        <w:spacing w:before="2"/>
        <w:ind w:left="949" w:right="366" w:hanging="356"/>
        <w:rPr>
          <w:sz w:val="20"/>
        </w:rPr>
      </w:pPr>
      <w:r>
        <w:rPr>
          <w:sz w:val="20"/>
        </w:rPr>
        <w:t xml:space="preserve">a </w:t>
      </w:r>
      <w:r>
        <w:rPr>
          <w:i/>
          <w:sz w:val="20"/>
        </w:rPr>
        <w:t xml:space="preserve">Calcutta </w:t>
      </w:r>
      <w:r>
        <w:rPr>
          <w:sz w:val="20"/>
        </w:rPr>
        <w:t>where “prizes” or rewards consist totally of the granting of rebates, discounts or other allowances in respect of amounts payable, or the granting of refunds of amounts paid for goods sold or services performed in the course of carrying on that trade or business which are equally available to all customers;</w:t>
      </w:r>
      <w:r>
        <w:rPr>
          <w:spacing w:val="-31"/>
          <w:sz w:val="20"/>
        </w:rPr>
        <w:t xml:space="preserve"> </w:t>
      </w:r>
      <w:r>
        <w:rPr>
          <w:sz w:val="20"/>
        </w:rPr>
        <w:t>or</w:t>
      </w:r>
    </w:p>
    <w:p w:rsidR="000E1E17" w:rsidRDefault="007D0A68">
      <w:pPr>
        <w:pStyle w:val="ListParagraph"/>
        <w:numPr>
          <w:ilvl w:val="0"/>
          <w:numId w:val="1"/>
        </w:numPr>
        <w:tabs>
          <w:tab w:val="left" w:pos="949"/>
          <w:tab w:val="left" w:pos="950"/>
        </w:tabs>
        <w:spacing w:before="2"/>
        <w:ind w:left="949" w:right="272" w:hanging="356"/>
        <w:rPr>
          <w:sz w:val="20"/>
        </w:rPr>
      </w:pPr>
      <w:r>
        <w:rPr>
          <w:sz w:val="20"/>
        </w:rPr>
        <w:t xml:space="preserve">a </w:t>
      </w:r>
      <w:r>
        <w:rPr>
          <w:i/>
          <w:sz w:val="20"/>
        </w:rPr>
        <w:t xml:space="preserve">Calcutta </w:t>
      </w:r>
      <w:r>
        <w:rPr>
          <w:sz w:val="20"/>
        </w:rPr>
        <w:t xml:space="preserve">which comes within the definition of a private lottery as defined in the </w:t>
      </w:r>
      <w:r>
        <w:rPr>
          <w:i/>
          <w:sz w:val="20"/>
        </w:rPr>
        <w:t xml:space="preserve">Lotteries Act 1964 </w:t>
      </w:r>
      <w:r>
        <w:rPr>
          <w:sz w:val="20"/>
        </w:rPr>
        <w:t>(where participation is restricted to members of the same association or who work or reside in the same premises and where there is no external advertising of the</w:t>
      </w:r>
      <w:r>
        <w:rPr>
          <w:spacing w:val="-19"/>
          <w:sz w:val="20"/>
        </w:rPr>
        <w:t xml:space="preserve"> </w:t>
      </w:r>
      <w:r>
        <w:rPr>
          <w:sz w:val="20"/>
        </w:rPr>
        <w:t>promotion).</w:t>
      </w:r>
    </w:p>
    <w:p w:rsidR="000E1E17" w:rsidRDefault="000E1E17">
      <w:pPr>
        <w:pStyle w:val="BodyText"/>
      </w:pPr>
    </w:p>
    <w:p w:rsidR="000E1E17" w:rsidRDefault="007D0A68">
      <w:pPr>
        <w:pStyle w:val="Heading2"/>
        <w:spacing w:before="1"/>
      </w:pPr>
      <w:r>
        <w:t>Website Lotteries</w:t>
      </w:r>
    </w:p>
    <w:p w:rsidR="000E1E17" w:rsidRDefault="007D0A68">
      <w:pPr>
        <w:pStyle w:val="BodyText"/>
        <w:spacing w:line="244" w:lineRule="exact"/>
        <w:ind w:left="235"/>
      </w:pPr>
      <w:r>
        <w:t>If a promotion involving a lottery is conducted via a website a permit is not required unless:</w:t>
      </w:r>
    </w:p>
    <w:p w:rsidR="000E1E17" w:rsidRDefault="007D0A68">
      <w:pPr>
        <w:pStyle w:val="ListParagraph"/>
        <w:numPr>
          <w:ilvl w:val="0"/>
          <w:numId w:val="1"/>
        </w:numPr>
        <w:tabs>
          <w:tab w:val="left" w:pos="949"/>
          <w:tab w:val="left" w:pos="950"/>
        </w:tabs>
        <w:spacing w:line="254" w:lineRule="exact"/>
        <w:ind w:left="949" w:hanging="356"/>
        <w:rPr>
          <w:sz w:val="20"/>
        </w:rPr>
      </w:pPr>
      <w:r>
        <w:rPr>
          <w:sz w:val="20"/>
        </w:rPr>
        <w:t>the website is hosted in the ACT,</w:t>
      </w:r>
      <w:r>
        <w:rPr>
          <w:spacing w:val="-14"/>
          <w:sz w:val="20"/>
        </w:rPr>
        <w:t xml:space="preserve"> </w:t>
      </w:r>
      <w:r>
        <w:rPr>
          <w:sz w:val="20"/>
        </w:rPr>
        <w:t>or</w:t>
      </w:r>
    </w:p>
    <w:p w:rsidR="000E1E17" w:rsidRDefault="007D0A68">
      <w:pPr>
        <w:pStyle w:val="ListParagraph"/>
        <w:numPr>
          <w:ilvl w:val="0"/>
          <w:numId w:val="1"/>
        </w:numPr>
        <w:tabs>
          <w:tab w:val="left" w:pos="949"/>
          <w:tab w:val="left" w:pos="950"/>
        </w:tabs>
        <w:ind w:left="949" w:right="507" w:hanging="356"/>
        <w:rPr>
          <w:sz w:val="20"/>
        </w:rPr>
      </w:pPr>
      <w:r>
        <w:rPr>
          <w:sz w:val="20"/>
        </w:rPr>
        <w:t>the</w:t>
      </w:r>
      <w:r>
        <w:rPr>
          <w:spacing w:val="-3"/>
          <w:sz w:val="20"/>
        </w:rPr>
        <w:t xml:space="preserve"> </w:t>
      </w:r>
      <w:r>
        <w:rPr>
          <w:sz w:val="20"/>
        </w:rPr>
        <w:t>website</w:t>
      </w:r>
      <w:r>
        <w:rPr>
          <w:spacing w:val="-3"/>
          <w:sz w:val="20"/>
        </w:rPr>
        <w:t xml:space="preserve"> </w:t>
      </w:r>
      <w:r>
        <w:rPr>
          <w:sz w:val="20"/>
        </w:rPr>
        <w:t>is</w:t>
      </w:r>
      <w:r>
        <w:rPr>
          <w:spacing w:val="-4"/>
          <w:sz w:val="20"/>
        </w:rPr>
        <w:t xml:space="preserve"> </w:t>
      </w:r>
      <w:r>
        <w:rPr>
          <w:sz w:val="20"/>
        </w:rPr>
        <w:t>not</w:t>
      </w:r>
      <w:r>
        <w:rPr>
          <w:spacing w:val="-2"/>
          <w:sz w:val="20"/>
        </w:rPr>
        <w:t xml:space="preserve"> </w:t>
      </w:r>
      <w:r>
        <w:rPr>
          <w:sz w:val="20"/>
        </w:rPr>
        <w:t>hosted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ACT</w:t>
      </w:r>
      <w:r>
        <w:rPr>
          <w:spacing w:val="-4"/>
          <w:sz w:val="20"/>
        </w:rPr>
        <w:t xml:space="preserve"> </w:t>
      </w:r>
      <w:r>
        <w:rPr>
          <w:sz w:val="20"/>
        </w:rPr>
        <w:t>but</w:t>
      </w:r>
      <w:r>
        <w:rPr>
          <w:spacing w:val="-2"/>
          <w:sz w:val="20"/>
        </w:rPr>
        <w:t xml:space="preserve"> </w:t>
      </w:r>
      <w:r>
        <w:rPr>
          <w:sz w:val="20"/>
        </w:rPr>
        <w:t>the</w:t>
      </w:r>
      <w:r>
        <w:rPr>
          <w:spacing w:val="-3"/>
          <w:sz w:val="20"/>
        </w:rPr>
        <w:t xml:space="preserve"> </w:t>
      </w:r>
      <w:r>
        <w:rPr>
          <w:sz w:val="20"/>
        </w:rPr>
        <w:t>promotion</w:t>
      </w:r>
      <w:r>
        <w:rPr>
          <w:spacing w:val="-2"/>
          <w:sz w:val="20"/>
        </w:rPr>
        <w:t xml:space="preserve"> </w:t>
      </w:r>
      <w:r>
        <w:rPr>
          <w:sz w:val="20"/>
        </w:rPr>
        <w:t>is</w:t>
      </w:r>
      <w:r>
        <w:rPr>
          <w:spacing w:val="-3"/>
          <w:sz w:val="20"/>
        </w:rPr>
        <w:t xml:space="preserve"> </w:t>
      </w:r>
      <w:r>
        <w:rPr>
          <w:sz w:val="20"/>
        </w:rPr>
        <w:t>being</w:t>
      </w:r>
      <w:r>
        <w:rPr>
          <w:spacing w:val="-3"/>
          <w:sz w:val="20"/>
        </w:rPr>
        <w:t xml:space="preserve"> </w:t>
      </w:r>
      <w:r>
        <w:rPr>
          <w:sz w:val="20"/>
        </w:rPr>
        <w:t>advertised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ACT</w:t>
      </w:r>
      <w:r>
        <w:rPr>
          <w:spacing w:val="-4"/>
          <w:sz w:val="20"/>
        </w:rPr>
        <w:t xml:space="preserve"> </w:t>
      </w:r>
      <w:r>
        <w:rPr>
          <w:sz w:val="20"/>
        </w:rPr>
        <w:t>in</w:t>
      </w:r>
      <w:r>
        <w:rPr>
          <w:spacing w:val="1"/>
          <w:sz w:val="20"/>
        </w:rPr>
        <w:t xml:space="preserve"> </w:t>
      </w:r>
      <w:r>
        <w:rPr>
          <w:sz w:val="20"/>
        </w:rPr>
        <w:t>addition</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advertising</w:t>
      </w:r>
      <w:r>
        <w:rPr>
          <w:spacing w:val="-3"/>
          <w:sz w:val="20"/>
        </w:rPr>
        <w:t xml:space="preserve"> </w:t>
      </w:r>
      <w:r>
        <w:rPr>
          <w:sz w:val="20"/>
        </w:rPr>
        <w:t>on the</w:t>
      </w:r>
      <w:r>
        <w:rPr>
          <w:spacing w:val="-5"/>
          <w:sz w:val="20"/>
        </w:rPr>
        <w:t xml:space="preserve"> </w:t>
      </w:r>
      <w:r>
        <w:rPr>
          <w:sz w:val="20"/>
        </w:rPr>
        <w:t>website.</w:t>
      </w:r>
    </w:p>
    <w:p w:rsidR="000E1E17" w:rsidRDefault="000E1E17">
      <w:pPr>
        <w:pStyle w:val="BodyText"/>
        <w:spacing w:before="10"/>
        <w:rPr>
          <w:sz w:val="19"/>
        </w:rPr>
      </w:pPr>
    </w:p>
    <w:p w:rsidR="000E1E17" w:rsidRDefault="007D0A68">
      <w:pPr>
        <w:pStyle w:val="Heading2"/>
      </w:pPr>
      <w:r>
        <w:t>Definition of advertising:</w:t>
      </w:r>
    </w:p>
    <w:p w:rsidR="000E1E17" w:rsidRDefault="007D0A68">
      <w:pPr>
        <w:pStyle w:val="BodyText"/>
        <w:ind w:left="235"/>
      </w:pPr>
      <w:r>
        <w:t>In this context, “advertised” includes:</w:t>
      </w:r>
    </w:p>
    <w:p w:rsidR="000E1E17" w:rsidRDefault="007D0A68">
      <w:pPr>
        <w:pStyle w:val="ListParagraph"/>
        <w:numPr>
          <w:ilvl w:val="0"/>
          <w:numId w:val="1"/>
        </w:numPr>
        <w:tabs>
          <w:tab w:val="left" w:pos="949"/>
          <w:tab w:val="left" w:pos="950"/>
        </w:tabs>
        <w:spacing w:before="2" w:line="255" w:lineRule="exact"/>
        <w:ind w:left="949" w:hanging="356"/>
        <w:rPr>
          <w:sz w:val="20"/>
        </w:rPr>
      </w:pPr>
      <w:r>
        <w:rPr>
          <w:sz w:val="20"/>
        </w:rPr>
        <w:t>a notice or mention on television, radio or other public</w:t>
      </w:r>
      <w:r>
        <w:rPr>
          <w:spacing w:val="-29"/>
          <w:sz w:val="20"/>
        </w:rPr>
        <w:t xml:space="preserve"> </w:t>
      </w:r>
      <w:r>
        <w:rPr>
          <w:sz w:val="20"/>
        </w:rPr>
        <w:t>broadcast;</w:t>
      </w:r>
    </w:p>
    <w:p w:rsidR="000E1E17" w:rsidRDefault="007D0A68">
      <w:pPr>
        <w:pStyle w:val="ListParagraph"/>
        <w:numPr>
          <w:ilvl w:val="0"/>
          <w:numId w:val="1"/>
        </w:numPr>
        <w:tabs>
          <w:tab w:val="left" w:pos="949"/>
          <w:tab w:val="left" w:pos="950"/>
        </w:tabs>
        <w:ind w:left="949" w:right="427" w:hanging="356"/>
        <w:rPr>
          <w:sz w:val="20"/>
        </w:rPr>
      </w:pPr>
      <w:r>
        <w:rPr>
          <w:sz w:val="20"/>
        </w:rPr>
        <w:t>a notice or mention in a newspaper, magazine, pamphlet, leaflet, flier, direct mail (specific address), general mail (non- specific address), internet, email, SMS, MMS, fax, billboard, sign, poster, banner or other publicly available printed material;</w:t>
      </w:r>
      <w:r>
        <w:rPr>
          <w:spacing w:val="-7"/>
          <w:sz w:val="20"/>
        </w:rPr>
        <w:t xml:space="preserve"> </w:t>
      </w:r>
      <w:r>
        <w:rPr>
          <w:sz w:val="20"/>
        </w:rPr>
        <w:t>or</w:t>
      </w:r>
    </w:p>
    <w:p w:rsidR="000E1E17" w:rsidRDefault="007D0A68">
      <w:pPr>
        <w:pStyle w:val="ListParagraph"/>
        <w:numPr>
          <w:ilvl w:val="0"/>
          <w:numId w:val="1"/>
        </w:numPr>
        <w:tabs>
          <w:tab w:val="left" w:pos="949"/>
          <w:tab w:val="left" w:pos="950"/>
        </w:tabs>
        <w:ind w:left="949" w:right="400" w:hanging="356"/>
        <w:rPr>
          <w:sz w:val="20"/>
        </w:rPr>
      </w:pPr>
      <w:r>
        <w:rPr>
          <w:sz w:val="20"/>
        </w:rPr>
        <w:t>any other method of communicating the conduct of the promotion to the public (excluding material forwarded directly to or made available to members</w:t>
      </w:r>
      <w:r>
        <w:rPr>
          <w:spacing w:val="-18"/>
          <w:sz w:val="20"/>
        </w:rPr>
        <w:t xml:space="preserve"> </w:t>
      </w:r>
      <w:r>
        <w:rPr>
          <w:sz w:val="20"/>
        </w:rPr>
        <w:t>only).</w:t>
      </w:r>
    </w:p>
    <w:p w:rsidR="000E1E17" w:rsidRDefault="000E1E17">
      <w:pPr>
        <w:pStyle w:val="BodyText"/>
        <w:spacing w:before="3"/>
      </w:pPr>
    </w:p>
    <w:p w:rsidR="000E1E17" w:rsidRDefault="007D0A68">
      <w:pPr>
        <w:pStyle w:val="Heading1"/>
        <w:spacing w:after="18"/>
      </w:pPr>
      <w:r>
        <w:t>How do I apply for a permit?</w:t>
      </w:r>
    </w:p>
    <w:p w:rsidR="000E1E17" w:rsidRDefault="008553EA">
      <w:pPr>
        <w:pStyle w:val="BodyText"/>
        <w:spacing w:line="20" w:lineRule="exact"/>
        <w:ind w:left="202"/>
        <w:rPr>
          <w:sz w:val="2"/>
        </w:rPr>
      </w:pPr>
      <w:r w:rsidRPr="008553EA">
        <w:rPr>
          <w:sz w:val="2"/>
        </w:rPr>
      </w:r>
      <w:r>
        <w:rPr>
          <w:sz w:val="2"/>
        </w:rPr>
        <w:pict>
          <v:group id="_x0000_s1046" style="width:531.4pt;height:.5pt;mso-position-horizontal-relative:char;mso-position-vertical-relative:line" coordsize="10628,10">
            <v:line id="_x0000_s1047" style="position:absolute" from="5,5" to="10622,5" strokeweight=".48pt"/>
            <w10:wrap type="none"/>
            <w10:anchorlock/>
          </v:group>
        </w:pict>
      </w:r>
    </w:p>
    <w:p w:rsidR="000E1E17" w:rsidRDefault="007D0A68">
      <w:pPr>
        <w:pStyle w:val="BodyText"/>
        <w:ind w:left="235"/>
      </w:pPr>
      <w:r>
        <w:t xml:space="preserve">The application form is available from the ACT Gambling and Racing Commission's (the Commission) website at </w:t>
      </w:r>
      <w:hyperlink r:id="rId10">
        <w:r>
          <w:rPr>
            <w:u w:val="single"/>
          </w:rPr>
          <w:t xml:space="preserve">www.gamblingandracing.act.gov.au </w:t>
        </w:r>
      </w:hyperlink>
      <w:r>
        <w:t>.</w:t>
      </w:r>
    </w:p>
    <w:p w:rsidR="000E1E17" w:rsidRDefault="000E1E17">
      <w:pPr>
        <w:pStyle w:val="BodyText"/>
        <w:spacing w:before="11"/>
        <w:rPr>
          <w:sz w:val="19"/>
        </w:rPr>
      </w:pPr>
    </w:p>
    <w:p w:rsidR="000E1E17" w:rsidRDefault="007D0A68">
      <w:pPr>
        <w:pStyle w:val="BodyText"/>
        <w:ind w:left="235" w:right="343"/>
      </w:pPr>
      <w:r>
        <w:t xml:space="preserve">The approved application form in its entirety must be completed and signed by the promoter, or their agent, and be lodged with the Commission with the relevant fee and supporting documentation (such as rules or terms and conditions of the game of </w:t>
      </w:r>
      <w:r>
        <w:rPr>
          <w:i/>
        </w:rPr>
        <w:t>Calcutta</w:t>
      </w:r>
      <w:r>
        <w:t>).</w:t>
      </w:r>
    </w:p>
    <w:p w:rsidR="000E1E17" w:rsidRDefault="000E1E17">
      <w:pPr>
        <w:sectPr w:rsidR="000E1E17">
          <w:type w:val="continuous"/>
          <w:pgSz w:w="11910" w:h="16840"/>
          <w:pgMar w:top="660" w:right="420" w:bottom="280" w:left="460" w:header="720" w:footer="720" w:gutter="0"/>
          <w:cols w:space="720"/>
        </w:sectPr>
      </w:pPr>
    </w:p>
    <w:p w:rsidR="000E1E17" w:rsidRDefault="008553EA">
      <w:pPr>
        <w:pStyle w:val="BodyText"/>
      </w:pPr>
      <w:r w:rsidRPr="008553EA">
        <w:lastRenderedPageBreak/>
        <w:pict>
          <v:group id="_x0000_s1037" style="position:absolute;margin-left:28.9pt;margin-top:45.45pt;width:539.9pt;height:741.25pt;z-index:-5440;mso-position-horizontal-relative:page;mso-position-vertical-relative:page" coordorigin="578,909" coordsize="10798,14825">
            <v:line id="_x0000_s1045" style="position:absolute" from="593,919" to="11361,919" strokeweight=".48pt"/>
            <v:line id="_x0000_s1044" style="position:absolute" from="588,914" to="588,15724" strokeweight=".48pt"/>
            <v:line id="_x0000_s1043" style="position:absolute" from="583,15729" to="593,15729" strokeweight=".48pt"/>
            <v:line id="_x0000_s1042" style="position:absolute" from="583,15729" to="593,15729" strokeweight=".48pt"/>
            <v:line id="_x0000_s1041" style="position:absolute" from="593,15729" to="11361,15729" strokeweight=".48pt"/>
            <v:line id="_x0000_s1040" style="position:absolute" from="11366,914" to="11366,15724" strokeweight=".48pt"/>
            <v:line id="_x0000_s1039" style="position:absolute" from="11361,15729" to="11371,15729" strokeweight=".48pt"/>
            <v:line id="_x0000_s1038" style="position:absolute" from="11361,15729" to="11371,15729" strokeweight=".48pt"/>
            <w10:wrap anchorx="page" anchory="page"/>
          </v:group>
        </w:pict>
      </w:r>
    </w:p>
    <w:p w:rsidR="000E1E17" w:rsidRDefault="000E1E17">
      <w:pPr>
        <w:pStyle w:val="BodyText"/>
        <w:spacing w:before="2"/>
        <w:rPr>
          <w:sz w:val="16"/>
        </w:rPr>
      </w:pPr>
    </w:p>
    <w:p w:rsidR="000E1E17" w:rsidRDefault="007D0A68">
      <w:pPr>
        <w:pStyle w:val="BodyText"/>
        <w:spacing w:before="60"/>
        <w:ind w:left="235" w:right="489"/>
      </w:pPr>
      <w:r>
        <w:t>An application may be posted (i</w:t>
      </w:r>
      <w:r w:rsidR="00DF476A">
        <w:t xml:space="preserve">f paying by cheque) or emailed </w:t>
      </w:r>
      <w:r>
        <w:t xml:space="preserve">(if paying by credit card) to the Commission at the addresses listed at the </w:t>
      </w:r>
      <w:r w:rsidR="00DF476A">
        <w:t>end</w:t>
      </w:r>
      <w:r>
        <w:t xml:space="preserve"> of this document.</w:t>
      </w:r>
    </w:p>
    <w:p w:rsidR="000E1E17" w:rsidRDefault="000E1E17">
      <w:pPr>
        <w:pStyle w:val="BodyText"/>
        <w:spacing w:before="11"/>
        <w:rPr>
          <w:sz w:val="19"/>
        </w:rPr>
      </w:pPr>
    </w:p>
    <w:p w:rsidR="000E1E17" w:rsidRDefault="007D0A68">
      <w:pPr>
        <w:pStyle w:val="BodyText"/>
        <w:ind w:left="235"/>
      </w:pPr>
      <w:r>
        <w:t>Processing of the application will not commence without the payment of the determined fee.</w:t>
      </w:r>
    </w:p>
    <w:p w:rsidR="000E1E17" w:rsidRDefault="000E1E17">
      <w:pPr>
        <w:pStyle w:val="BodyText"/>
        <w:spacing w:before="10"/>
        <w:rPr>
          <w:sz w:val="19"/>
        </w:rPr>
      </w:pPr>
    </w:p>
    <w:p w:rsidR="000E1E17" w:rsidRDefault="007D0A68">
      <w:pPr>
        <w:pStyle w:val="BodyText"/>
        <w:ind w:left="235"/>
      </w:pPr>
      <w:r>
        <w:t>Seven working days should be allowed for processing once the Commission has received all information.</w:t>
      </w:r>
    </w:p>
    <w:p w:rsidR="000E1E17" w:rsidRDefault="000E1E17">
      <w:pPr>
        <w:pStyle w:val="BodyText"/>
      </w:pPr>
    </w:p>
    <w:p w:rsidR="000E1E17" w:rsidRDefault="000E1E17">
      <w:pPr>
        <w:pStyle w:val="BodyText"/>
      </w:pPr>
    </w:p>
    <w:p w:rsidR="000E1E17" w:rsidRDefault="000E1E17">
      <w:pPr>
        <w:pStyle w:val="BodyText"/>
        <w:spacing w:before="2"/>
      </w:pPr>
    </w:p>
    <w:p w:rsidR="000E1E17" w:rsidRDefault="007D0A68">
      <w:pPr>
        <w:pStyle w:val="Heading1"/>
      </w:pPr>
      <w:r>
        <w:t>Conditions of Approval</w:t>
      </w:r>
    </w:p>
    <w:p w:rsidR="000E1E17" w:rsidRDefault="008553EA">
      <w:pPr>
        <w:pStyle w:val="BodyText"/>
        <w:spacing w:line="20" w:lineRule="exact"/>
        <w:ind w:left="202"/>
        <w:rPr>
          <w:sz w:val="2"/>
        </w:rPr>
      </w:pPr>
      <w:r w:rsidRPr="008553EA">
        <w:rPr>
          <w:sz w:val="2"/>
        </w:rPr>
      </w:r>
      <w:r>
        <w:rPr>
          <w:sz w:val="2"/>
        </w:rPr>
        <w:pict>
          <v:group id="_x0000_s1035" style="width:531.4pt;height:.5pt;mso-position-horizontal-relative:char;mso-position-vertical-relative:line" coordsize="10628,10">
            <v:line id="_x0000_s1036" style="position:absolute" from="5,5" to="10622,5" strokeweight=".48pt"/>
            <w10:wrap type="none"/>
            <w10:anchorlock/>
          </v:group>
        </w:pict>
      </w:r>
    </w:p>
    <w:p w:rsidR="000E1E17" w:rsidRDefault="007D0A68">
      <w:pPr>
        <w:pStyle w:val="BodyText"/>
        <w:ind w:left="235" w:right="416"/>
      </w:pPr>
      <w:r>
        <w:t xml:space="preserve">Pursuant to Section 7(3) of the </w:t>
      </w:r>
      <w:r>
        <w:rPr>
          <w:i/>
        </w:rPr>
        <w:t>Lotteries Act 1964</w:t>
      </w:r>
      <w:r>
        <w:t xml:space="preserve">, the Commission may impose conditions on an approval of </w:t>
      </w:r>
      <w:r>
        <w:rPr>
          <w:i/>
        </w:rPr>
        <w:t xml:space="preserve">a Calcutta </w:t>
      </w:r>
      <w:r>
        <w:t>in order to protect the interests of subscribers to the lottery.</w:t>
      </w:r>
    </w:p>
    <w:p w:rsidR="000E1E17" w:rsidRDefault="000E1E17">
      <w:pPr>
        <w:pStyle w:val="BodyText"/>
        <w:spacing w:before="1"/>
      </w:pPr>
    </w:p>
    <w:p w:rsidR="000E1E17" w:rsidRDefault="007D0A68">
      <w:pPr>
        <w:pStyle w:val="BodyText"/>
        <w:ind w:left="235"/>
      </w:pPr>
      <w:r>
        <w:t xml:space="preserve">The following information states the specific conditions that apply to </w:t>
      </w:r>
      <w:r>
        <w:rPr>
          <w:i/>
        </w:rPr>
        <w:t xml:space="preserve">Calcutta </w:t>
      </w:r>
      <w:r>
        <w:t>approvals.</w:t>
      </w:r>
    </w:p>
    <w:p w:rsidR="000E1E17" w:rsidRDefault="000E1E17">
      <w:pPr>
        <w:pStyle w:val="BodyText"/>
      </w:pPr>
    </w:p>
    <w:p w:rsidR="000E1E17" w:rsidRDefault="000E1E17">
      <w:pPr>
        <w:pStyle w:val="BodyText"/>
        <w:spacing w:before="1"/>
      </w:pPr>
    </w:p>
    <w:p w:rsidR="000E1E17" w:rsidRDefault="007D0A68">
      <w:pPr>
        <w:pStyle w:val="Heading1"/>
        <w:spacing w:after="17"/>
      </w:pPr>
      <w:r>
        <w:t>Specific Conditions</w:t>
      </w:r>
    </w:p>
    <w:p w:rsidR="000E1E17" w:rsidRDefault="008553EA">
      <w:pPr>
        <w:pStyle w:val="BodyText"/>
        <w:spacing w:line="20" w:lineRule="exact"/>
        <w:ind w:left="202"/>
        <w:rPr>
          <w:sz w:val="2"/>
        </w:rPr>
      </w:pPr>
      <w:r w:rsidRPr="008553EA">
        <w:rPr>
          <w:sz w:val="2"/>
        </w:rPr>
      </w:r>
      <w:r>
        <w:rPr>
          <w:sz w:val="2"/>
        </w:rPr>
        <w:pict>
          <v:group id="_x0000_s1033" style="width:531.4pt;height:.5pt;mso-position-horizontal-relative:char;mso-position-vertical-relative:line" coordsize="10628,10">
            <v:line id="_x0000_s1034" style="position:absolute" from="5,5" to="10622,5" strokeweight=".48pt"/>
            <w10:wrap type="none"/>
            <w10:anchorlock/>
          </v:group>
        </w:pict>
      </w:r>
    </w:p>
    <w:p w:rsidR="000E1E17" w:rsidRDefault="007D0A68">
      <w:pPr>
        <w:pStyle w:val="BodyText"/>
        <w:ind w:left="235" w:right="936"/>
      </w:pPr>
      <w:r>
        <w:t>The applicant (or their agent) must fully and accurately complete the approved application form to the satisfaction of the Commission.</w:t>
      </w:r>
    </w:p>
    <w:p w:rsidR="000E1E17" w:rsidRDefault="000E1E17">
      <w:pPr>
        <w:pStyle w:val="BodyText"/>
        <w:spacing w:before="11"/>
        <w:rPr>
          <w:sz w:val="19"/>
        </w:rPr>
      </w:pPr>
    </w:p>
    <w:p w:rsidR="000E1E17" w:rsidRDefault="007D0A68">
      <w:pPr>
        <w:pStyle w:val="BodyText"/>
        <w:spacing w:line="482" w:lineRule="auto"/>
        <w:ind w:left="235" w:right="489"/>
      </w:pPr>
      <w:r>
        <w:t>Agencies acting on behalf of an applicant must include a letter of authority from the promoter conducting the lottery. Participants must be over the age of 18 years.</w:t>
      </w:r>
    </w:p>
    <w:p w:rsidR="000E1E17" w:rsidRDefault="007D0A68">
      <w:pPr>
        <w:pStyle w:val="BodyText"/>
        <w:ind w:left="235" w:right="425"/>
      </w:pPr>
      <w:r>
        <w:t>For the purpose of calculating the application determined fee, the total prize value is calculated as the summation of the values of all possible prizes that could be attained based on the prize allocation options.</w:t>
      </w:r>
    </w:p>
    <w:p w:rsidR="000E1E17" w:rsidRDefault="000E1E17">
      <w:pPr>
        <w:pStyle w:val="BodyText"/>
        <w:spacing w:before="2"/>
      </w:pPr>
    </w:p>
    <w:p w:rsidR="000E1E17" w:rsidRDefault="007D0A68">
      <w:pPr>
        <w:pStyle w:val="BodyText"/>
        <w:ind w:left="235"/>
      </w:pPr>
      <w:r>
        <w:t>The value of individual prizes is the usual or recommended retail or market value of the goods or services offered as the prize.</w:t>
      </w:r>
    </w:p>
    <w:p w:rsidR="000E1E17" w:rsidRDefault="000E1E17">
      <w:pPr>
        <w:pStyle w:val="BodyText"/>
      </w:pPr>
    </w:p>
    <w:p w:rsidR="000E1E17" w:rsidRDefault="007D0A68">
      <w:pPr>
        <w:pStyle w:val="BodyText"/>
        <w:ind w:left="235" w:right="418"/>
      </w:pPr>
      <w:r>
        <w:t xml:space="preserve">If prizes in the </w:t>
      </w:r>
      <w:r>
        <w:rPr>
          <w:i/>
        </w:rPr>
        <w:t xml:space="preserve">Calcutta </w:t>
      </w:r>
      <w:r>
        <w:t>are allocated on a state-by-state basis, the relevant prize for the purposes of calculating the determined fee is that prize or prizes that ACT residents are eligible to win.</w:t>
      </w:r>
    </w:p>
    <w:p w:rsidR="000E1E17" w:rsidRDefault="000E1E17">
      <w:pPr>
        <w:pStyle w:val="BodyText"/>
        <w:spacing w:before="10"/>
        <w:rPr>
          <w:sz w:val="19"/>
        </w:rPr>
      </w:pPr>
    </w:p>
    <w:p w:rsidR="000E1E17" w:rsidRDefault="007D0A68">
      <w:pPr>
        <w:pStyle w:val="BodyText"/>
        <w:ind w:left="235" w:right="358"/>
        <w:jc w:val="both"/>
      </w:pPr>
      <w:r>
        <w:t xml:space="preserve">In relation to the conduct of the </w:t>
      </w:r>
      <w:r>
        <w:rPr>
          <w:i/>
        </w:rPr>
        <w:t>Calcutta</w:t>
      </w:r>
      <w:r>
        <w:t>, the total value of prizes is calculated by the organiser providing a reasonable estimate of the auction proceeds to the Commission with the application. If the estimate is accepted by the Commission, the relevant fee will be calculated on this basis.</w:t>
      </w:r>
    </w:p>
    <w:p w:rsidR="000E1E17" w:rsidRDefault="000E1E17">
      <w:pPr>
        <w:pStyle w:val="BodyText"/>
      </w:pPr>
    </w:p>
    <w:p w:rsidR="000E1E17" w:rsidRDefault="000E1E17">
      <w:pPr>
        <w:pStyle w:val="BodyText"/>
        <w:spacing w:before="1"/>
      </w:pPr>
    </w:p>
    <w:p w:rsidR="000E1E17" w:rsidRDefault="007D0A68">
      <w:pPr>
        <w:pStyle w:val="Heading1"/>
        <w:spacing w:after="17"/>
      </w:pPr>
      <w:r>
        <w:t>Variation to approval</w:t>
      </w:r>
    </w:p>
    <w:p w:rsidR="000E1E17" w:rsidRDefault="008553EA">
      <w:pPr>
        <w:pStyle w:val="BodyText"/>
        <w:spacing w:line="20" w:lineRule="exact"/>
        <w:ind w:left="202"/>
        <w:rPr>
          <w:sz w:val="2"/>
        </w:rPr>
      </w:pPr>
      <w:r w:rsidRPr="008553EA">
        <w:rPr>
          <w:sz w:val="2"/>
        </w:rPr>
      </w:r>
      <w:r>
        <w:rPr>
          <w:sz w:val="2"/>
        </w:rPr>
        <w:pict>
          <v:group id="_x0000_s1031" style="width:531.4pt;height:.5pt;mso-position-horizontal-relative:char;mso-position-vertical-relative:line" coordsize="10628,10">
            <v:line id="_x0000_s1032" style="position:absolute" from="5,5" to="10622,5" strokeweight=".48pt"/>
            <w10:wrap type="none"/>
            <w10:anchorlock/>
          </v:group>
        </w:pict>
      </w:r>
    </w:p>
    <w:p w:rsidR="000E1E17" w:rsidRDefault="007D0A68">
      <w:pPr>
        <w:pStyle w:val="BodyText"/>
        <w:ind w:left="235" w:right="889"/>
      </w:pPr>
      <w:r>
        <w:t xml:space="preserve">Any variation to the application after the Commission has commenced its processing must be submitted through an </w:t>
      </w:r>
      <w:r>
        <w:rPr>
          <w:i/>
        </w:rPr>
        <w:t xml:space="preserve">Application for an Amendment to an Approval to Conduct a Lottery </w:t>
      </w:r>
      <w:r>
        <w:t>form and be accompanied by the determined fee for a variation. The Commission must approve a variation to the promotion before any amendment can be implemented.</w:t>
      </w:r>
    </w:p>
    <w:p w:rsidR="000E1E17" w:rsidRDefault="000E1E17">
      <w:pPr>
        <w:pStyle w:val="BodyText"/>
        <w:spacing w:before="1"/>
      </w:pPr>
    </w:p>
    <w:p w:rsidR="000E1E17" w:rsidRDefault="007D0A68">
      <w:pPr>
        <w:pStyle w:val="BodyText"/>
        <w:ind w:left="235"/>
      </w:pPr>
      <w:r>
        <w:t xml:space="preserve">A copy of the variation form can be obtained from the Commission website at </w:t>
      </w:r>
      <w:hyperlink r:id="rId11">
        <w:r>
          <w:rPr>
            <w:color w:val="0000FF"/>
            <w:u w:val="single" w:color="0000FF"/>
          </w:rPr>
          <w:t>www.gamblingandracing.act.gov.au</w:t>
        </w:r>
      </w:hyperlink>
    </w:p>
    <w:p w:rsidR="000E1E17" w:rsidRDefault="000E1E17">
      <w:pPr>
        <w:pStyle w:val="BodyText"/>
      </w:pPr>
    </w:p>
    <w:p w:rsidR="000E1E17" w:rsidRDefault="000E1E17">
      <w:pPr>
        <w:pStyle w:val="BodyText"/>
        <w:spacing w:before="3"/>
        <w:rPr>
          <w:sz w:val="15"/>
        </w:rPr>
      </w:pPr>
    </w:p>
    <w:p w:rsidR="000E1E17" w:rsidRDefault="007D0A68">
      <w:pPr>
        <w:pStyle w:val="Heading1"/>
        <w:spacing w:before="59" w:after="17"/>
      </w:pPr>
      <w:r>
        <w:t>Permit number</w:t>
      </w:r>
    </w:p>
    <w:p w:rsidR="000E1E17" w:rsidRDefault="008553EA">
      <w:pPr>
        <w:pStyle w:val="BodyText"/>
        <w:spacing w:line="20" w:lineRule="exact"/>
        <w:ind w:left="202"/>
        <w:rPr>
          <w:sz w:val="2"/>
        </w:rPr>
      </w:pPr>
      <w:r w:rsidRPr="008553EA">
        <w:rPr>
          <w:sz w:val="2"/>
        </w:rPr>
      </w:r>
      <w:r>
        <w:rPr>
          <w:sz w:val="2"/>
        </w:rPr>
        <w:pict>
          <v:group id="_x0000_s1029" style="width:531.4pt;height:.5pt;mso-position-horizontal-relative:char;mso-position-vertical-relative:line" coordsize="10628,10">
            <v:line id="_x0000_s1030" style="position:absolute" from="5,5" to="10622,5" strokeweight=".48pt"/>
            <w10:wrap type="none"/>
            <w10:anchorlock/>
          </v:group>
        </w:pict>
      </w:r>
    </w:p>
    <w:p w:rsidR="000E1E17" w:rsidRDefault="007D0A68">
      <w:pPr>
        <w:pStyle w:val="BodyText"/>
        <w:ind w:left="235"/>
      </w:pPr>
      <w:r>
        <w:t>Once an application has been approved the Commission will issue the applicant with a permit number. All entry forms and advertisements must include the permit number issued for that promotion.</w:t>
      </w:r>
    </w:p>
    <w:p w:rsidR="000E1E17" w:rsidRDefault="000E1E17">
      <w:pPr>
        <w:pStyle w:val="BodyText"/>
      </w:pPr>
    </w:p>
    <w:p w:rsidR="000E1E17" w:rsidRDefault="000E1E17">
      <w:pPr>
        <w:pStyle w:val="BodyText"/>
        <w:spacing w:before="2"/>
      </w:pPr>
    </w:p>
    <w:p w:rsidR="000E1E17" w:rsidRDefault="007D0A68">
      <w:pPr>
        <w:pStyle w:val="Heading1"/>
        <w:spacing w:after="18"/>
      </w:pPr>
      <w:r>
        <w:t>Records</w:t>
      </w:r>
    </w:p>
    <w:p w:rsidR="000E1E17" w:rsidRDefault="008553EA">
      <w:pPr>
        <w:pStyle w:val="BodyText"/>
        <w:spacing w:line="20" w:lineRule="exact"/>
        <w:ind w:left="202"/>
        <w:rPr>
          <w:sz w:val="2"/>
        </w:rPr>
      </w:pPr>
      <w:r w:rsidRPr="008553EA">
        <w:rPr>
          <w:sz w:val="2"/>
        </w:rPr>
      </w:r>
      <w:r>
        <w:rPr>
          <w:sz w:val="2"/>
        </w:rPr>
        <w:pict>
          <v:group id="_x0000_s1027" style="width:531.4pt;height:.5pt;mso-position-horizontal-relative:char;mso-position-vertical-relative:line" coordsize="10628,10">
            <v:line id="_x0000_s1028" style="position:absolute" from="5,5" to="10622,5" strokeweight=".48pt"/>
            <w10:wrap type="none"/>
            <w10:anchorlock/>
          </v:group>
        </w:pict>
      </w:r>
    </w:p>
    <w:p w:rsidR="000E1E17" w:rsidRDefault="007D0A68">
      <w:pPr>
        <w:pStyle w:val="BodyText"/>
        <w:ind w:left="235" w:right="343"/>
      </w:pPr>
      <w:r>
        <w:t xml:space="preserve">All records concerning the game of </w:t>
      </w:r>
      <w:r>
        <w:rPr>
          <w:i/>
        </w:rPr>
        <w:t>Calcutta</w:t>
      </w:r>
      <w:r>
        <w:t>, including entries, number of tickets sold and game operators, details must be kept for a minimum period of twelve months after the determination of the results.</w:t>
      </w:r>
    </w:p>
    <w:p w:rsidR="000E1E17" w:rsidRDefault="000E1E17">
      <w:pPr>
        <w:pStyle w:val="BodyText"/>
        <w:spacing w:before="1"/>
      </w:pPr>
    </w:p>
    <w:p w:rsidR="000E1E17" w:rsidRDefault="007D0A68">
      <w:pPr>
        <w:pStyle w:val="BodyText"/>
        <w:ind w:left="235" w:right="218"/>
      </w:pPr>
      <w:r>
        <w:t>Financial statements must be drawn-up and retained for a period of 12 months after the determination of the results. The financial statements must provide a detailed record of all income and expenditure associated with the conduct of the raffle.</w:t>
      </w:r>
    </w:p>
    <w:p w:rsidR="000E1E17" w:rsidRDefault="000E1E17">
      <w:pPr>
        <w:pStyle w:val="BodyText"/>
        <w:spacing w:before="1"/>
      </w:pPr>
    </w:p>
    <w:p w:rsidR="000E1E17" w:rsidRDefault="007D0A68">
      <w:pPr>
        <w:pStyle w:val="BodyText"/>
        <w:ind w:left="235"/>
      </w:pPr>
      <w:r>
        <w:t>The Commission may request that you provide these records at any time.</w:t>
      </w:r>
    </w:p>
    <w:p w:rsidR="000E1E17" w:rsidRDefault="000E1E17">
      <w:pPr>
        <w:sectPr w:rsidR="000E1E17">
          <w:headerReference w:type="default" r:id="rId12"/>
          <w:pgSz w:w="11910" w:h="16840"/>
          <w:pgMar w:top="660" w:right="420" w:bottom="280" w:left="460" w:header="467" w:footer="0" w:gutter="0"/>
          <w:pgNumType w:start="2"/>
          <w:cols w:space="720"/>
        </w:sectPr>
      </w:pPr>
    </w:p>
    <w:p w:rsidR="000E1E17" w:rsidRDefault="000E1E17">
      <w:pPr>
        <w:pStyle w:val="BodyText"/>
        <w:spacing w:before="6"/>
        <w:rPr>
          <w:rFonts w:ascii="Times New Roman"/>
          <w:sz w:val="21"/>
        </w:rPr>
      </w:pPr>
    </w:p>
    <w:p w:rsidR="000E1E17" w:rsidRDefault="007D0A68">
      <w:pPr>
        <w:pStyle w:val="BodyText"/>
        <w:ind w:left="103"/>
        <w:rPr>
          <w:rFonts w:ascii="Times New Roman"/>
        </w:rPr>
      </w:pPr>
      <w:r>
        <w:rPr>
          <w:rFonts w:ascii="Times New Roman"/>
          <w:spacing w:val="-49"/>
        </w:rPr>
        <w:t xml:space="preserve"> </w:t>
      </w:r>
      <w:r w:rsidR="008553EA" w:rsidRPr="008553EA">
        <w:rPr>
          <w:rFonts w:ascii="Times New Roman"/>
          <w:spacing w:val="-49"/>
        </w:rPr>
      </w:r>
      <w:r w:rsidR="008553EA">
        <w:rPr>
          <w:rFonts w:ascii="Times New Roman"/>
          <w:spacing w:val="-49"/>
        </w:rPr>
        <w:pict>
          <v:shapetype id="_x0000_t202" coordsize="21600,21600" o:spt="202" path="m,l,21600r21600,l21600,xe">
            <v:stroke joinstyle="miter"/>
            <v:path gradientshapeok="t" o:connecttype="rect"/>
          </v:shapetype>
          <v:shape id="_x0000_s1066" type="#_x0000_t202" style="width:538.9pt;height:171.4pt;mso-left-percent:-10001;mso-top-percent:-10001;mso-position-horizontal:absolute;mso-position-horizontal-relative:char;mso-position-vertical:absolute;mso-position-vertical-relative:line;mso-left-percent:-10001;mso-top-percent:-10001" filled="f" strokeweight=".48pt">
            <v:textbox inset="0,0,0,0">
              <w:txbxContent>
                <w:p w:rsidR="000E1E17" w:rsidRDefault="000E1E17">
                  <w:pPr>
                    <w:pStyle w:val="BodyText"/>
                    <w:spacing w:before="2"/>
                    <w:rPr>
                      <w:rFonts w:ascii="Times New Roman"/>
                      <w:sz w:val="21"/>
                    </w:rPr>
                  </w:pPr>
                </w:p>
                <w:p w:rsidR="000E1E17" w:rsidRDefault="007D0A68">
                  <w:pPr>
                    <w:ind w:left="103"/>
                    <w:rPr>
                      <w:b/>
                      <w:sz w:val="20"/>
                    </w:rPr>
                  </w:pPr>
                  <w:r>
                    <w:rPr>
                      <w:b/>
                      <w:sz w:val="20"/>
                    </w:rPr>
                    <w:t>Contacting the Commission About Your Lottery</w:t>
                  </w:r>
                </w:p>
                <w:p w:rsidR="000E1E17" w:rsidRDefault="007D0A68">
                  <w:pPr>
                    <w:pStyle w:val="BodyText"/>
                    <w:ind w:left="103"/>
                  </w:pPr>
                  <w:r>
                    <w:t>Completed applications may be mailed or emailed to:</w:t>
                  </w:r>
                </w:p>
                <w:p w:rsidR="000E1E17" w:rsidRDefault="000E1E17">
                  <w:pPr>
                    <w:pStyle w:val="BodyText"/>
                    <w:spacing w:before="1"/>
                    <w:rPr>
                      <w:rFonts w:ascii="Times New Roman"/>
                      <w:sz w:val="21"/>
                    </w:rPr>
                  </w:pPr>
                </w:p>
                <w:p w:rsidR="000E1E17" w:rsidRDefault="007D0A68">
                  <w:pPr>
                    <w:pStyle w:val="BodyText"/>
                    <w:spacing w:before="1"/>
                    <w:ind w:left="103"/>
                  </w:pPr>
                  <w:r>
                    <w:t>The Lotteries Officer</w:t>
                  </w:r>
                </w:p>
                <w:p w:rsidR="000E1E17" w:rsidRDefault="007D0A68">
                  <w:pPr>
                    <w:pStyle w:val="BodyText"/>
                    <w:spacing w:before="1"/>
                    <w:ind w:left="103" w:right="7546"/>
                  </w:pPr>
                  <w:r>
                    <w:t xml:space="preserve">ACT Gambling and Racing Commission </w:t>
                  </w:r>
                  <w:r w:rsidR="00341F15">
                    <w:t>G</w:t>
                  </w:r>
                  <w:r>
                    <w:t>PO Box 158</w:t>
                  </w:r>
                </w:p>
                <w:p w:rsidR="000E1E17" w:rsidRDefault="007D0A68">
                  <w:pPr>
                    <w:pStyle w:val="BodyText"/>
                    <w:spacing w:before="1"/>
                    <w:ind w:left="103"/>
                  </w:pPr>
                  <w:r>
                    <w:t>CANBERRA  ACT 2601</w:t>
                  </w:r>
                </w:p>
                <w:p w:rsidR="000E1E17" w:rsidRDefault="000E1E17">
                  <w:pPr>
                    <w:pStyle w:val="BodyText"/>
                    <w:spacing w:before="4"/>
                    <w:rPr>
                      <w:rFonts w:ascii="Times New Roman"/>
                      <w:sz w:val="21"/>
                    </w:rPr>
                  </w:pPr>
                </w:p>
                <w:p w:rsidR="000E1E17" w:rsidRDefault="007D0A68">
                  <w:pPr>
                    <w:pStyle w:val="BodyText"/>
                    <w:spacing w:line="243" w:lineRule="exact"/>
                    <w:ind w:left="103"/>
                  </w:pPr>
                  <w:r>
                    <w:t xml:space="preserve">Email: </w:t>
                  </w:r>
                  <w:hyperlink r:id="rId13">
                    <w:r>
                      <w:rPr>
                        <w:color w:val="0000FF"/>
                        <w:u w:val="single" w:color="0000FF"/>
                      </w:rPr>
                      <w:t>lotteries@act.gov.au</w:t>
                    </w:r>
                  </w:hyperlink>
                </w:p>
                <w:p w:rsidR="000E1E17" w:rsidRDefault="000E1E17">
                  <w:pPr>
                    <w:pStyle w:val="BodyText"/>
                    <w:spacing w:before="4"/>
                    <w:rPr>
                      <w:rFonts w:ascii="Times New Roman"/>
                      <w:sz w:val="21"/>
                    </w:rPr>
                  </w:pPr>
                </w:p>
                <w:p w:rsidR="000E1E17" w:rsidRDefault="007D0A68">
                  <w:pPr>
                    <w:pStyle w:val="BodyText"/>
                    <w:ind w:left="103"/>
                  </w:pPr>
                  <w:r>
                    <w:t>Telephone enquiries can be directed to the Lotteries Officer on telephone 02 6207 0361.</w:t>
                  </w:r>
                </w:p>
              </w:txbxContent>
            </v:textbox>
            <w10:wrap type="none"/>
            <w10:anchorlock/>
          </v:shape>
        </w:pict>
      </w:r>
    </w:p>
    <w:sectPr w:rsidR="000E1E17" w:rsidSect="000E1E17">
      <w:pgSz w:w="11910" w:h="16840"/>
      <w:pgMar w:top="660" w:right="440" w:bottom="280" w:left="480" w:header="4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17" w:rsidRDefault="000E1E17" w:rsidP="000E1E17">
      <w:r>
        <w:separator/>
      </w:r>
    </w:p>
  </w:endnote>
  <w:endnote w:type="continuationSeparator" w:id="0">
    <w:p w:rsidR="000E1E17" w:rsidRDefault="000E1E17" w:rsidP="000E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17" w:rsidRDefault="000E1E17" w:rsidP="000E1E17">
      <w:r>
        <w:separator/>
      </w:r>
    </w:p>
  </w:footnote>
  <w:footnote w:type="continuationSeparator" w:id="0">
    <w:p w:rsidR="000E1E17" w:rsidRDefault="000E1E17" w:rsidP="000E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17" w:rsidRDefault="008553EA">
    <w:pPr>
      <w:pStyle w:val="BodyText"/>
      <w:spacing w:line="14" w:lineRule="auto"/>
    </w:pPr>
    <w:r w:rsidRPr="008553EA">
      <w:pict>
        <v:shapetype id="_x0000_t202" coordsize="21600,21600" o:spt="202" path="m,l,21600r21600,l21600,xe">
          <v:stroke joinstyle="miter"/>
          <v:path gradientshapeok="t" o:connecttype="rect"/>
        </v:shapetype>
        <v:shape id="_x0000_s2049" type="#_x0000_t202" style="position:absolute;margin-left:293.15pt;margin-top:22.35pt;width:9.05pt;height:12pt;z-index:-251658752;mso-position-horizontal-relative:page;mso-position-vertical-relative:page" filled="f" stroked="f">
          <v:textbox inset="0,0,0,0">
            <w:txbxContent>
              <w:p w:rsidR="000E1E17" w:rsidRDefault="008553EA">
                <w:pPr>
                  <w:pStyle w:val="BodyText"/>
                  <w:spacing w:line="223" w:lineRule="exact"/>
                  <w:ind w:left="40"/>
                </w:pPr>
                <w:r>
                  <w:fldChar w:fldCharType="begin"/>
                </w:r>
                <w:r w:rsidR="007D0A68">
                  <w:rPr>
                    <w:w w:val="99"/>
                  </w:rPr>
                  <w:instrText xml:space="preserve"> PAGE </w:instrText>
                </w:r>
                <w:r>
                  <w:fldChar w:fldCharType="separate"/>
                </w:r>
                <w:r w:rsidR="004737BD">
                  <w:rPr>
                    <w:noProof/>
                    <w:w w:val="99"/>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6D6A"/>
    <w:multiLevelType w:val="hybridMultilevel"/>
    <w:tmpl w:val="EE34CC40"/>
    <w:lvl w:ilvl="0" w:tplc="4E904A90">
      <w:numFmt w:val="bullet"/>
      <w:lvlText w:val=""/>
      <w:lvlJc w:val="left"/>
      <w:pPr>
        <w:ind w:left="956" w:hanging="385"/>
      </w:pPr>
      <w:rPr>
        <w:rFonts w:ascii="Symbol" w:eastAsia="Symbol" w:hAnsi="Symbol" w:cs="Symbol" w:hint="default"/>
        <w:w w:val="99"/>
        <w:sz w:val="20"/>
        <w:szCs w:val="20"/>
      </w:rPr>
    </w:lvl>
    <w:lvl w:ilvl="1" w:tplc="F118CAE8">
      <w:numFmt w:val="bullet"/>
      <w:lvlText w:val="•"/>
      <w:lvlJc w:val="left"/>
      <w:pPr>
        <w:ind w:left="1966" w:hanging="385"/>
      </w:pPr>
      <w:rPr>
        <w:rFonts w:hint="default"/>
      </w:rPr>
    </w:lvl>
    <w:lvl w:ilvl="2" w:tplc="B3C2C9EC">
      <w:numFmt w:val="bullet"/>
      <w:lvlText w:val="•"/>
      <w:lvlJc w:val="left"/>
      <w:pPr>
        <w:ind w:left="2973" w:hanging="385"/>
      </w:pPr>
      <w:rPr>
        <w:rFonts w:hint="default"/>
      </w:rPr>
    </w:lvl>
    <w:lvl w:ilvl="3" w:tplc="FEC80348">
      <w:numFmt w:val="bullet"/>
      <w:lvlText w:val="•"/>
      <w:lvlJc w:val="left"/>
      <w:pPr>
        <w:ind w:left="3979" w:hanging="385"/>
      </w:pPr>
      <w:rPr>
        <w:rFonts w:hint="default"/>
      </w:rPr>
    </w:lvl>
    <w:lvl w:ilvl="4" w:tplc="48A66828">
      <w:numFmt w:val="bullet"/>
      <w:lvlText w:val="•"/>
      <w:lvlJc w:val="left"/>
      <w:pPr>
        <w:ind w:left="4986" w:hanging="385"/>
      </w:pPr>
      <w:rPr>
        <w:rFonts w:hint="default"/>
      </w:rPr>
    </w:lvl>
    <w:lvl w:ilvl="5" w:tplc="1DB86A74">
      <w:numFmt w:val="bullet"/>
      <w:lvlText w:val="•"/>
      <w:lvlJc w:val="left"/>
      <w:pPr>
        <w:ind w:left="5993" w:hanging="385"/>
      </w:pPr>
      <w:rPr>
        <w:rFonts w:hint="default"/>
      </w:rPr>
    </w:lvl>
    <w:lvl w:ilvl="6" w:tplc="698CBB24">
      <w:numFmt w:val="bullet"/>
      <w:lvlText w:val="•"/>
      <w:lvlJc w:val="left"/>
      <w:pPr>
        <w:ind w:left="6999" w:hanging="385"/>
      </w:pPr>
      <w:rPr>
        <w:rFonts w:hint="default"/>
      </w:rPr>
    </w:lvl>
    <w:lvl w:ilvl="7" w:tplc="02AE3AE0">
      <w:numFmt w:val="bullet"/>
      <w:lvlText w:val="•"/>
      <w:lvlJc w:val="left"/>
      <w:pPr>
        <w:ind w:left="8006" w:hanging="385"/>
      </w:pPr>
      <w:rPr>
        <w:rFonts w:hint="default"/>
      </w:rPr>
    </w:lvl>
    <w:lvl w:ilvl="8" w:tplc="0D2A8AA2">
      <w:numFmt w:val="bullet"/>
      <w:lvlText w:val="•"/>
      <w:lvlJc w:val="left"/>
      <w:pPr>
        <w:ind w:left="9013" w:hanging="3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0E1E17"/>
    <w:rsid w:val="000E1E17"/>
    <w:rsid w:val="00341F15"/>
    <w:rsid w:val="003E29A9"/>
    <w:rsid w:val="004737BD"/>
    <w:rsid w:val="007D0A68"/>
    <w:rsid w:val="008553EA"/>
    <w:rsid w:val="00B332B9"/>
    <w:rsid w:val="00BD52BC"/>
    <w:rsid w:val="00BE45AA"/>
    <w:rsid w:val="00DF47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1E17"/>
    <w:rPr>
      <w:rFonts w:ascii="Calibri" w:eastAsia="Calibri" w:hAnsi="Calibri" w:cs="Calibri"/>
    </w:rPr>
  </w:style>
  <w:style w:type="paragraph" w:styleId="Heading1">
    <w:name w:val="heading 1"/>
    <w:basedOn w:val="Normal"/>
    <w:uiPriority w:val="1"/>
    <w:qFormat/>
    <w:rsid w:val="000E1E17"/>
    <w:pPr>
      <w:spacing w:before="19"/>
      <w:ind w:left="235"/>
      <w:outlineLvl w:val="0"/>
    </w:pPr>
    <w:rPr>
      <w:b/>
      <w:bCs/>
      <w:sz w:val="20"/>
      <w:szCs w:val="20"/>
    </w:rPr>
  </w:style>
  <w:style w:type="paragraph" w:styleId="Heading2">
    <w:name w:val="heading 2"/>
    <w:basedOn w:val="Normal"/>
    <w:uiPriority w:val="1"/>
    <w:qFormat/>
    <w:rsid w:val="000E1E17"/>
    <w:pPr>
      <w:ind w:left="235"/>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1E17"/>
    <w:rPr>
      <w:sz w:val="20"/>
      <w:szCs w:val="20"/>
    </w:rPr>
  </w:style>
  <w:style w:type="paragraph" w:styleId="ListParagraph">
    <w:name w:val="List Paragraph"/>
    <w:basedOn w:val="Normal"/>
    <w:uiPriority w:val="1"/>
    <w:qFormat/>
    <w:rsid w:val="000E1E17"/>
    <w:pPr>
      <w:ind w:left="949" w:hanging="356"/>
    </w:pPr>
  </w:style>
  <w:style w:type="paragraph" w:customStyle="1" w:styleId="TableParagraph">
    <w:name w:val="Table Paragraph"/>
    <w:basedOn w:val="Normal"/>
    <w:uiPriority w:val="1"/>
    <w:qFormat/>
    <w:rsid w:val="000E1E17"/>
  </w:style>
  <w:style w:type="paragraph" w:styleId="BalloonText">
    <w:name w:val="Balloon Text"/>
    <w:basedOn w:val="Normal"/>
    <w:link w:val="BalloonTextChar"/>
    <w:uiPriority w:val="99"/>
    <w:semiHidden/>
    <w:unhideWhenUsed/>
    <w:rsid w:val="00DF476A"/>
    <w:rPr>
      <w:rFonts w:ascii="Tahoma" w:hAnsi="Tahoma" w:cs="Tahoma"/>
      <w:sz w:val="16"/>
      <w:szCs w:val="16"/>
    </w:rPr>
  </w:style>
  <w:style w:type="character" w:customStyle="1" w:styleId="BalloonTextChar">
    <w:name w:val="Balloon Text Char"/>
    <w:basedOn w:val="DefaultParagraphFont"/>
    <w:link w:val="BalloonText"/>
    <w:uiPriority w:val="99"/>
    <w:semiHidden/>
    <w:rsid w:val="00DF476A"/>
    <w:rPr>
      <w:rFonts w:ascii="Tahoma" w:eastAsia="Calibri" w:hAnsi="Tahoma" w:cs="Tahoma"/>
      <w:sz w:val="16"/>
      <w:szCs w:val="16"/>
    </w:rPr>
  </w:style>
  <w:style w:type="paragraph" w:styleId="Header">
    <w:name w:val="header"/>
    <w:basedOn w:val="Normal"/>
    <w:link w:val="HeaderChar"/>
    <w:uiPriority w:val="99"/>
    <w:semiHidden/>
    <w:unhideWhenUsed/>
    <w:rsid w:val="00BD52BC"/>
    <w:pPr>
      <w:tabs>
        <w:tab w:val="center" w:pos="4513"/>
        <w:tab w:val="right" w:pos="9026"/>
      </w:tabs>
    </w:pPr>
  </w:style>
  <w:style w:type="character" w:customStyle="1" w:styleId="HeaderChar">
    <w:name w:val="Header Char"/>
    <w:basedOn w:val="DefaultParagraphFont"/>
    <w:link w:val="Header"/>
    <w:uiPriority w:val="99"/>
    <w:semiHidden/>
    <w:rsid w:val="00BD52BC"/>
    <w:rPr>
      <w:rFonts w:ascii="Calibri" w:eastAsia="Calibri" w:hAnsi="Calibri" w:cs="Calibri"/>
    </w:rPr>
  </w:style>
  <w:style w:type="paragraph" w:styleId="Footer">
    <w:name w:val="footer"/>
    <w:basedOn w:val="Normal"/>
    <w:link w:val="FooterChar"/>
    <w:uiPriority w:val="99"/>
    <w:semiHidden/>
    <w:unhideWhenUsed/>
    <w:rsid w:val="00BD52BC"/>
    <w:pPr>
      <w:tabs>
        <w:tab w:val="center" w:pos="4513"/>
        <w:tab w:val="right" w:pos="9026"/>
      </w:tabs>
    </w:pPr>
  </w:style>
  <w:style w:type="character" w:customStyle="1" w:styleId="FooterChar">
    <w:name w:val="Footer Char"/>
    <w:basedOn w:val="DefaultParagraphFont"/>
    <w:link w:val="Footer"/>
    <w:uiPriority w:val="99"/>
    <w:semiHidden/>
    <w:rsid w:val="00BD52B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otteries@act.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blingandracing.act.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mblingandracing.act.gov.au/" TargetMode="External"/><Relationship Id="rId4" Type="http://schemas.openxmlformats.org/officeDocument/2006/relationships/webSettings" Target="webSettings.xml"/><Relationship Id="rId9" Type="http://schemas.openxmlformats.org/officeDocument/2006/relationships/hyperlink" Target="http://www.gamblingandracing.act.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Company>ACT Government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Calcutta Information and Conditions</dc:title>
  <dc:subject>Lottery information</dc:subject>
  <dc:creator>lesley maloney</dc:creator>
  <cp:lastModifiedBy>pauline quinane</cp:lastModifiedBy>
  <cp:revision>3</cp:revision>
  <dcterms:created xsi:type="dcterms:W3CDTF">2016-12-01T23:25:00Z</dcterms:created>
  <dcterms:modified xsi:type="dcterms:W3CDTF">2016-12-05T22:21:00Z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Office Word 2007</vt:lpwstr>
  </property>
  <property fmtid="{D5CDD505-2E9C-101B-9397-08002B2CF9AE}" pid="4" name="LastSaved">
    <vt:filetime>2016-12-01T00:00:00Z</vt:filetime>
  </property>
</Properties>
</file>